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38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Оплата приобретаемого на аукционе имущества производится по реквизитам, в порядке, размере и сроки, определенные в договоре купли-продажи имущества. Задаток, внесенный Покупателем на счет Продавца, засчитывается в оплату приобретаемого имущества. Ответственность Покупателя в случае его отказа или уклонения от оплаты имущества в установленные сроки предусматривается в соответствии с действующим законодательством Российской Федерации в договоре купли-продажи. Передача имущества Победителю аукциона и оформление права собственности на него осуществляется в порядке, установленном законодательством Российской Федерации и договором купли-продажи, после полной оплаты стоимости имущества. Факт оплаты подтверждается выпиской со счета Продавца о поступлении средств в размере и в порядке, указанном в договоре купли-продажи.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42" w:line="27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такого отзыва заявки до окончания приема заявок поступивший от Претендента задаток возвращается в срок не позднее 5 (пяти)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38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Заинтересованные лица могут осмотреть имущество по месту его нахождения. Осмотр будет проводиться в 11-00 час. 20 июня 2017г.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38" w:line="27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о предыдущих торгах по продаже вышеуказанного муниципального имущества: торги по вышеуказанному имуществу не проводились.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69" w:line="276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Style6"/>
        <w:widowControl w:val="0"/>
        <w:keepNext w:val="0"/>
        <w:keepLines w:val="0"/>
        <w:shd w:val="clear" w:color="auto" w:fill="auto"/>
        <w:bidi w:val="0"/>
        <w:spacing w:before="0" w:after="206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Переход права собственности на Имущество.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19" w:line="276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Передача покупателю Имущества и оформление права собственности на него осуществляется в порядке, установленном законодательством Российской Федерации и договором купли - продажи. Право собственности на Имущество переходит к покупателю с момента государственной регистрации перехода права собственности.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552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Расходы по оформлению права собственности в полном объеме возлагаются на покупателя. </w:t>
      </w:r>
      <w:r>
        <w:rPr>
          <w:rStyle w:val="CharStyle8"/>
        </w:rPr>
        <w:t>Заключительные положения.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780" w:line="276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Все вопросы, касающиеся аукциона, не нашедшие отражения в настоящем информационном сообщении регулируются законодательством Российской Федерации.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76" w:lineRule="exact"/>
        <w:ind w:left="0" w:right="0"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52.15pt;margin-top:-26.05pt;width:153.6pt;height:95.05pt;z-index:-125829376;mso-wrap-distance-left:23.15pt;mso-wrap-distance-right:99.1pt;mso-wrap-distance-bottom:20.pt;mso-position-horizontal-relative:margin" wrapcoords="0 0 13121 0 13121 15038 21600 15038 21600 17658 13121 17658 13121 21600 0 21600 0 0">
            <v:imagedata r:id="rId5" r:href="rId6"/>
            <w10:wrap type="square" side="left" anchorx="margin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5.5pt;margin-top:38.85pt;width:69.1pt;height:14.9pt;z-index:-125829375;mso-wrap-distance-left:206.5pt;mso-wrap-distance-top:64.9pt;mso-wrap-distance-right:5.pt;mso-wrap-distance-bottom:3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4"/>
                    </w:rPr>
                    <w:t>Н.В.Шипчин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Глава администрации Кыштовского сельсовета Кыштовского района Новосибирской области</w:t>
      </w:r>
    </w:p>
    <w:sectPr>
      <w:footnotePr>
        <w:pos w:val="pageBottom"/>
        <w:numFmt w:val="decimal"/>
        <w:numRestart w:val="continuous"/>
      </w:footnotePr>
      <w:pgSz w:w="11900" w:h="16840"/>
      <w:pgMar w:top="488" w:left="1043" w:right="609" w:bottom="488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Body text (2) Exact"/>
    <w:basedOn w:val="DefaultParagraphFont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5">
    <w:name w:val="Body text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7">
    <w:name w:val="Body text (3)_"/>
    <w:basedOn w:val="DefaultParagraphFont"/>
    <w:link w:val="Style6"/>
    <w:rPr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8">
    <w:name w:val="Body text (2) + Bold"/>
    <w:basedOn w:val="CharStyle5"/>
    <w:rPr>
      <w:lang w:val="ru-RU" w:eastAsia="ru-RU" w:bidi="ru-RU"/>
      <w:b/>
      <w:bCs/>
      <w:sz w:val="24"/>
      <w:szCs w:val="24"/>
      <w:w w:val="100"/>
      <w:spacing w:val="0"/>
      <w:color w:val="000000"/>
      <w:position w:val="0"/>
    </w:rPr>
  </w:style>
  <w:style w:type="paragraph" w:customStyle="1" w:styleId="Style3">
    <w:name w:val="Body text (2)"/>
    <w:basedOn w:val="Normal"/>
    <w:link w:val="CharStyle5"/>
    <w:pPr>
      <w:widowControl w:val="0"/>
      <w:shd w:val="clear" w:color="auto" w:fill="FFFFFF"/>
      <w:jc w:val="both"/>
      <w:spacing w:after="240" w:line="271" w:lineRule="exact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6">
    <w:name w:val="Body text (3)"/>
    <w:basedOn w:val="Normal"/>
    <w:link w:val="CharStyle7"/>
    <w:pPr>
      <w:widowControl w:val="0"/>
      <w:shd w:val="clear" w:color="auto" w:fill="FFFFFF"/>
      <w:jc w:val="both"/>
      <w:spacing w:before="240" w:after="300" w:line="0" w:lineRule="exact"/>
    </w:pPr>
    <w:rPr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>ocr_1ce1be5a602b4ff3750b3bde952be8cc</dc:title>
  <dc:subject/>
  <dc:creator/>
  <cp:keywords/>
</cp:coreProperties>
</file>